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FA1864" w14:textId="6EB2D4F2" w:rsidR="005B6D2B" w:rsidRPr="00D74B7F" w:rsidRDefault="005B6D2B" w:rsidP="00060A77">
      <w:pPr>
        <w:spacing w:line="276" w:lineRule="auto"/>
        <w:jc w:val="center"/>
        <w:rPr>
          <w:rFonts w:ascii="Times New Roman" w:hAnsi="Times New Roman"/>
          <w:b/>
          <w:bCs/>
          <w:iCs/>
          <w:sz w:val="24"/>
          <w:szCs w:val="24"/>
          <w:lang w:val="sq-AL" w:bidi="en-GB"/>
        </w:rPr>
      </w:pPr>
      <w:r w:rsidRPr="00D74B7F">
        <w:rPr>
          <w:rFonts w:ascii="Times New Roman" w:hAnsi="Times New Roman"/>
          <w:b/>
          <w:bCs/>
          <w:iCs/>
          <w:sz w:val="24"/>
          <w:szCs w:val="24"/>
          <w:lang w:val="sq-AL" w:bidi="en-GB"/>
        </w:rPr>
        <w:t>Raport për rezultatet e konsultimeve publike</w:t>
      </w:r>
    </w:p>
    <w:p w14:paraId="2CDAB1AC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p w14:paraId="5CDED51F" w14:textId="783E224A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Titulli i draft aktit</w:t>
      </w:r>
    </w:p>
    <w:p w14:paraId="248FF380" w14:textId="77777777" w:rsidR="00075B1A" w:rsidRDefault="00075B1A" w:rsidP="00075B1A">
      <w:pPr>
        <w:pStyle w:val="BodyText"/>
        <w:jc w:val="center"/>
        <w:rPr>
          <w:rFonts w:ascii="Times New Roman" w:hAnsi="Times New Roman"/>
          <w:sz w:val="24"/>
          <w:szCs w:val="24"/>
          <w:lang w:val="sq-AL"/>
        </w:rPr>
      </w:pPr>
      <w:r>
        <w:rPr>
          <w:rFonts w:ascii="Times New Roman" w:hAnsi="Times New Roman"/>
          <w:b/>
          <w:sz w:val="24"/>
          <w:szCs w:val="24"/>
          <w:lang w:val="sq-AL"/>
        </w:rPr>
        <w:t>Projektvendimi i Këshillit të Ministrave “Për miratimin e Planit të Veprimit 2022-2024, të Strategjisë për Kontrollin e Armëve të Vogla, të Lehta, Municioneve dhe Eksplozivëve 2019–2024”</w:t>
      </w:r>
    </w:p>
    <w:p w14:paraId="68C7B86D" w14:textId="77777777" w:rsidR="006A56F9" w:rsidRPr="00D74B7F" w:rsidRDefault="006A56F9" w:rsidP="006A56F9">
      <w:p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</w:p>
    <w:p w14:paraId="6BA2E498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Kohëzgjatja e konsultimeve</w:t>
      </w:r>
    </w:p>
    <w:p w14:paraId="63288F5B" w14:textId="77777777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Specifikoni kohëzgjatjen e përgjithshme të konsultimeve publike sa i përket ditëve të punës, përfshirë datën e hapjes dhe mbylljes së konsultimeve publike; nëse kohëzgjatja ishte më e shkurtër se 20 ditë pune e paraparë me ligj, jepni arsye për shkurtimin e kohëzgjatjes.</w:t>
      </w:r>
    </w:p>
    <w:p w14:paraId="4051A68D" w14:textId="77777777" w:rsidR="00F2137A" w:rsidRPr="00D74B7F" w:rsidRDefault="00F2137A" w:rsidP="00F2137A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1FE0CE2" w14:textId="076C2B33" w:rsidR="00075B1A" w:rsidRPr="00075B1A" w:rsidRDefault="00075B1A" w:rsidP="00075B1A">
      <w:pPr>
        <w:tabs>
          <w:tab w:val="left" w:pos="598"/>
        </w:tabs>
        <w:spacing w:after="1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Kohëzgjatja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publik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ka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filluar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n</w:t>
      </w:r>
      <w:r w:rsidRPr="00075B1A">
        <w:rPr>
          <w:rFonts w:ascii="Times New Roman" w:hAnsi="Times New Roman"/>
          <w:iCs/>
          <w:sz w:val="24"/>
          <w:szCs w:val="24"/>
        </w:rPr>
        <w:t>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qershor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vitit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2021</w:t>
      </w:r>
      <w:r>
        <w:rPr>
          <w:rFonts w:ascii="Times New Roman" w:hAnsi="Times New Roman"/>
          <w:iCs/>
          <w:sz w:val="24"/>
          <w:szCs w:val="24"/>
        </w:rPr>
        <w:t>,</w:t>
      </w:r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fillimisht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p</w:t>
      </w:r>
      <w:r w:rsidRPr="00075B1A">
        <w:rPr>
          <w:rFonts w:ascii="Times New Roman" w:hAnsi="Times New Roman"/>
          <w:iCs/>
          <w:sz w:val="24"/>
          <w:szCs w:val="24"/>
        </w:rPr>
        <w:t>ër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identifikimin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grupeve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interesit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përcaktimi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i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metodave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konsultimit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>.</w:t>
      </w:r>
    </w:p>
    <w:p w14:paraId="2A411062" w14:textId="5D03056E" w:rsidR="00075B1A" w:rsidRPr="00075B1A" w:rsidRDefault="00075B1A" w:rsidP="00075B1A">
      <w:pPr>
        <w:tabs>
          <w:tab w:val="left" w:pos="598"/>
        </w:tabs>
        <w:spacing w:after="1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Më</w:t>
      </w:r>
      <w:proofErr w:type="spellEnd"/>
      <w:r>
        <w:rPr>
          <w:rFonts w:ascii="Times New Roman" w:hAnsi="Times New Roman"/>
          <w:sz w:val="24"/>
          <w:szCs w:val="24"/>
        </w:rPr>
        <w:t xml:space="preserve"> pas </w:t>
      </w:r>
      <w:proofErr w:type="spellStart"/>
      <w:r>
        <w:rPr>
          <w:rFonts w:ascii="Times New Roman" w:hAnsi="Times New Roman"/>
          <w:sz w:val="24"/>
          <w:szCs w:val="24"/>
        </w:rPr>
        <w:t>j</w:t>
      </w:r>
      <w:r w:rsidRPr="00075B1A">
        <w:rPr>
          <w:rFonts w:ascii="Times New Roman" w:hAnsi="Times New Roman"/>
          <w:sz w:val="24"/>
          <w:szCs w:val="24"/>
        </w:rPr>
        <w:t>anë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zhvilluar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vazhdimisht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takime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grupit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punës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075B1A">
        <w:rPr>
          <w:rFonts w:ascii="Times New Roman" w:hAnsi="Times New Roman"/>
          <w:sz w:val="24"/>
          <w:szCs w:val="24"/>
        </w:rPr>
        <w:t>përfaqësues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nga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ministritë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075B1A">
        <w:rPr>
          <w:rFonts w:ascii="Times New Roman" w:hAnsi="Times New Roman"/>
          <w:sz w:val="24"/>
          <w:szCs w:val="24"/>
        </w:rPr>
        <w:t>linjës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MD, MFE, MASR, MEPJ, MM, MTM </w:t>
      </w:r>
      <w:proofErr w:type="spellStart"/>
      <w:r w:rsidRPr="00075B1A">
        <w:rPr>
          <w:rFonts w:ascii="Times New Roman" w:hAnsi="Times New Roman"/>
          <w:sz w:val="24"/>
          <w:szCs w:val="24"/>
        </w:rPr>
        <w:t>dhe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organet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pavarura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PP </w:t>
      </w:r>
      <w:proofErr w:type="spellStart"/>
      <w:r w:rsidRPr="00075B1A">
        <w:rPr>
          <w:rFonts w:ascii="Times New Roman" w:hAnsi="Times New Roman"/>
          <w:sz w:val="24"/>
          <w:szCs w:val="24"/>
        </w:rPr>
        <w:t>dhe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SHISH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ekspertë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075B1A">
        <w:rPr>
          <w:rFonts w:ascii="Times New Roman" w:hAnsi="Times New Roman"/>
          <w:sz w:val="24"/>
          <w:szCs w:val="24"/>
        </w:rPr>
        <w:t>(</w:t>
      </w:r>
      <w:proofErr w:type="spellStart"/>
      <w:r w:rsidRPr="00075B1A">
        <w:rPr>
          <w:rFonts w:ascii="Times New Roman" w:hAnsi="Times New Roman"/>
          <w:sz w:val="24"/>
          <w:szCs w:val="24"/>
        </w:rPr>
        <w:t>fizike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sz w:val="24"/>
          <w:szCs w:val="24"/>
        </w:rPr>
        <w:t>dhe</w:t>
      </w:r>
      <w:proofErr w:type="spellEnd"/>
      <w:r w:rsidRPr="00075B1A">
        <w:rPr>
          <w:rFonts w:ascii="Times New Roman" w:hAnsi="Times New Roman"/>
          <w:sz w:val="24"/>
          <w:szCs w:val="24"/>
        </w:rPr>
        <w:t xml:space="preserve"> online).</w:t>
      </w:r>
    </w:p>
    <w:p w14:paraId="1D1E4C5E" w14:textId="77777777" w:rsidR="00075B1A" w:rsidRPr="00075B1A" w:rsidRDefault="00075B1A" w:rsidP="00075B1A">
      <w:pPr>
        <w:tabs>
          <w:tab w:val="left" w:pos="598"/>
        </w:tabs>
        <w:spacing w:after="120"/>
        <w:jc w:val="both"/>
        <w:rPr>
          <w:rFonts w:ascii="Times New Roman" w:hAnsi="Times New Roman"/>
          <w:iCs/>
          <w:sz w:val="24"/>
          <w:szCs w:val="24"/>
        </w:rPr>
      </w:pPr>
      <w:proofErr w:type="spellStart"/>
      <w:r w:rsidRPr="00075B1A">
        <w:rPr>
          <w:rFonts w:ascii="Times New Roman" w:hAnsi="Times New Roman"/>
          <w:iCs/>
          <w:sz w:val="24"/>
          <w:szCs w:val="24"/>
        </w:rPr>
        <w:t>Në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nëntor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2021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është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zhvilluar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një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takim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me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ministritë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linjës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Komisionin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Kombëtar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AVL,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përfaqësues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ambasadës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Franceze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Gjermane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Suedeze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Norvegjeze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Delegacionit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Bashkimit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Evropian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përfaqësues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organizatave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ndërkombëtare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si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 xml:space="preserve"> UNDP/SEESAC, OSCE, BAFA, INTERPOL, UNODC, PAMECA, IPA </w:t>
      </w:r>
      <w:proofErr w:type="spellStart"/>
      <w:r w:rsidRPr="00075B1A">
        <w:rPr>
          <w:rFonts w:ascii="Times New Roman" w:hAnsi="Times New Roman"/>
          <w:iCs/>
          <w:sz w:val="24"/>
          <w:szCs w:val="24"/>
        </w:rPr>
        <w:t>etj</w:t>
      </w:r>
      <w:proofErr w:type="spellEnd"/>
      <w:r w:rsidRPr="00075B1A">
        <w:rPr>
          <w:rFonts w:ascii="Times New Roman" w:hAnsi="Times New Roman"/>
          <w:iCs/>
          <w:sz w:val="24"/>
          <w:szCs w:val="24"/>
        </w:rPr>
        <w:t>.</w:t>
      </w:r>
    </w:p>
    <w:p w14:paraId="6F4AA103" w14:textId="41D45310" w:rsidR="00075B1A" w:rsidRDefault="00075B1A" w:rsidP="00075B1A">
      <w:pPr>
        <w:tabs>
          <w:tab w:val="left" w:pos="594"/>
        </w:tabs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q-AL"/>
        </w:rPr>
        <w:t>Kohëzgja</w:t>
      </w:r>
      <w:r w:rsidR="00363B75">
        <w:rPr>
          <w:rFonts w:ascii="Times New Roman" w:hAnsi="Times New Roman"/>
          <w:sz w:val="24"/>
          <w:szCs w:val="24"/>
          <w:lang w:val="sq-AL"/>
        </w:rPr>
        <w:t>tja e konsultimit në RENJK ka qe</w:t>
      </w:r>
      <w:r>
        <w:rPr>
          <w:rFonts w:ascii="Times New Roman" w:hAnsi="Times New Roman"/>
          <w:sz w:val="24"/>
          <w:szCs w:val="24"/>
          <w:lang w:val="sq-AL"/>
        </w:rPr>
        <w:t xml:space="preserve">në nga data </w:t>
      </w:r>
      <w:r w:rsidRPr="00075B1A">
        <w:rPr>
          <w:rFonts w:ascii="Times New Roman" w:hAnsi="Times New Roman"/>
          <w:sz w:val="24"/>
          <w:szCs w:val="24"/>
          <w:lang w:val="sq-AL"/>
        </w:rPr>
        <w:t>17 nëntor 2021 deri më 16 dhjetor 2021</w:t>
      </w:r>
      <w:r>
        <w:rPr>
          <w:rFonts w:ascii="Times New Roman" w:hAnsi="Times New Roman"/>
          <w:sz w:val="24"/>
          <w:szCs w:val="24"/>
        </w:rPr>
        <w:t>.</w:t>
      </w:r>
    </w:p>
    <w:p w14:paraId="600105AD" w14:textId="40063E32" w:rsidR="00075B1A" w:rsidRPr="00075B1A" w:rsidRDefault="00075B1A" w:rsidP="00075B1A">
      <w:pPr>
        <w:tabs>
          <w:tab w:val="left" w:pos="594"/>
        </w:tabs>
        <w:spacing w:after="1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Kurse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faza</w:t>
      </w:r>
      <w:proofErr w:type="spellEnd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konsultimit</w:t>
      </w:r>
      <w:proofErr w:type="spellEnd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me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ministritë</w:t>
      </w:r>
      <w:proofErr w:type="spellEnd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e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linjës</w:t>
      </w:r>
      <w:proofErr w:type="spellEnd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,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nëpërmjet</w:t>
      </w:r>
      <w:proofErr w:type="spellEnd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bashkërendimit</w:t>
      </w:r>
      <w:proofErr w:type="spellEnd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ndërinstitucional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ka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qenë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nga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data </w:t>
      </w:r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16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nëntor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deri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në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26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color w:val="000000" w:themeColor="text1"/>
          <w:sz w:val="24"/>
          <w:szCs w:val="24"/>
        </w:rPr>
        <w:t>nëntor</w:t>
      </w:r>
      <w:proofErr w:type="spellEnd"/>
      <w:r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</w:t>
      </w:r>
      <w:r w:rsidRPr="00075B1A">
        <w:rPr>
          <w:rFonts w:ascii="Times New Roman" w:hAnsi="Times New Roman"/>
          <w:iCs/>
          <w:color w:val="000000" w:themeColor="text1"/>
          <w:sz w:val="24"/>
          <w:szCs w:val="24"/>
        </w:rPr>
        <w:t>2021</w:t>
      </w:r>
      <w:r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</w:p>
    <w:p w14:paraId="261084E1" w14:textId="04877A5E" w:rsidR="005B6D2B" w:rsidRPr="00D91D61" w:rsidRDefault="005B6D2B" w:rsidP="00060A77">
      <w:pPr>
        <w:spacing w:line="276" w:lineRule="auto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  <w:lang w:val="sq-AL"/>
        </w:rPr>
      </w:pPr>
    </w:p>
    <w:p w14:paraId="62C67803" w14:textId="77777777" w:rsidR="005B6D2B" w:rsidRPr="00D74B7F" w:rsidRDefault="005B6D2B" w:rsidP="00465158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Metoda e konsultimit</w:t>
      </w:r>
    </w:p>
    <w:p w14:paraId="1070C2CB" w14:textId="4BA6C690" w:rsidR="005B6D2B" w:rsidRPr="00D74B7F" w:rsidRDefault="005B6D2B" w:rsidP="00465158">
      <w:pPr>
        <w:spacing w:line="276" w:lineRule="auto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Listoni të gjitha metodat e konsultimit të përdorura, të tilla si konsultimet elektronike (Regjistri Elektronik, posta elektronike, faqet e internetit, etj.), Takimet publike, seancat e organeve këshilluese…, dhe siguroni informacione për afatin kohor, kohëzgjatjen dhe afatet e tyre.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se si u shpërnda informacioni mbi konsultimet e hapura, si u ftuan palët e interesuara të kontribuojnë.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 xml:space="preserve"> 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Përfshini gjithashtu aktivitete nga konsultimet paraprake nëse janë organizuar të tilla).</w:t>
      </w:r>
    </w:p>
    <w:p w14:paraId="72CDC594" w14:textId="77777777" w:rsidR="00741C60" w:rsidRPr="00D74B7F" w:rsidRDefault="00741C60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6D8F596" w14:textId="0768A39E" w:rsidR="00070EA8" w:rsidRDefault="00741C60" w:rsidP="00875898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Cs/>
          <w:sz w:val="24"/>
          <w:szCs w:val="24"/>
          <w:lang w:val="sq-AL"/>
        </w:rPr>
        <w:t>Metodat e konsultimit të përdorura p</w:t>
      </w:r>
      <w:r w:rsidR="005B1920" w:rsidRPr="00D74B7F">
        <w:rPr>
          <w:rFonts w:ascii="Times New Roman" w:hAnsi="Times New Roman"/>
          <w:iCs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Cs/>
          <w:sz w:val="24"/>
          <w:szCs w:val="24"/>
          <w:lang w:val="sq-AL"/>
        </w:rPr>
        <w:t xml:space="preserve">r </w:t>
      </w:r>
      <w:r w:rsidR="00F5408A" w:rsidRPr="00D74B7F">
        <w:rPr>
          <w:rFonts w:ascii="Times New Roman" w:hAnsi="Times New Roman"/>
          <w:iCs/>
          <w:sz w:val="24"/>
          <w:szCs w:val="24"/>
          <w:lang w:val="sq-AL"/>
        </w:rPr>
        <w:t>projektvendimin</w:t>
      </w:r>
      <w:r w:rsidR="00070EA8" w:rsidRPr="00D74B7F">
        <w:rPr>
          <w:rFonts w:ascii="Times New Roman" w:hAnsi="Times New Roman"/>
          <w:iCs/>
          <w:sz w:val="24"/>
          <w:szCs w:val="24"/>
          <w:lang w:val="sq-AL"/>
        </w:rPr>
        <w:t xml:space="preserve"> </w:t>
      </w:r>
      <w:r w:rsidR="00875898" w:rsidRPr="00875898">
        <w:rPr>
          <w:rFonts w:ascii="Times New Roman" w:hAnsi="Times New Roman"/>
          <w:iCs/>
          <w:sz w:val="24"/>
          <w:szCs w:val="24"/>
          <w:lang w:val="sq-AL"/>
        </w:rPr>
        <w:t>e Këshillit të Ministrave “Për miratimin e Planit të Veprimit 2022-2024, të Strategjisë për Kontrollin e Armëve të Vogla, të Lehta, Municioneve dhe Eksplozivëve 2019–2024”</w:t>
      </w:r>
      <w:r w:rsidR="00875898">
        <w:rPr>
          <w:rFonts w:ascii="Times New Roman" w:hAnsi="Times New Roman"/>
          <w:iCs/>
          <w:sz w:val="24"/>
          <w:szCs w:val="24"/>
          <w:lang w:val="sq-AL"/>
        </w:rPr>
        <w:t>:</w:t>
      </w:r>
    </w:p>
    <w:p w14:paraId="5459A8A8" w14:textId="77777777" w:rsidR="00875898" w:rsidRPr="00D74B7F" w:rsidRDefault="00875898" w:rsidP="00875898">
      <w:pPr>
        <w:spacing w:line="276" w:lineRule="auto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3EC68AE6" w14:textId="45A26AF6" w:rsidR="00A91C67" w:rsidRPr="00DE5F6E" w:rsidRDefault="00070EA8" w:rsidP="00363B75">
      <w:pPr>
        <w:pStyle w:val="ListParagraph"/>
        <w:numPr>
          <w:ilvl w:val="0"/>
          <w:numId w:val="16"/>
        </w:numPr>
        <w:spacing w:line="276" w:lineRule="auto"/>
        <w:ind w:left="450" w:hanging="45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>Konsultimi elektronik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, p</w:t>
      </w:r>
      <w:r w:rsidR="005B1920" w:rsidRPr="00DE5F6E">
        <w:rPr>
          <w:rFonts w:ascii="Times New Roman" w:hAnsi="Times New Roman"/>
          <w:iCs/>
          <w:sz w:val="24"/>
          <w:szCs w:val="24"/>
          <w:lang w:val="sq-AL"/>
        </w:rPr>
        <w:t>ë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rmes Regjistrit Elektronik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 për Njoftimet dhe Konsultimet, RE</w:t>
      </w:r>
      <w:r w:rsidR="00332DB4" w:rsidRPr="00DE5F6E">
        <w:rPr>
          <w:rFonts w:ascii="Times New Roman" w:hAnsi="Times New Roman"/>
          <w:iCs/>
          <w:sz w:val="24"/>
          <w:szCs w:val="24"/>
          <w:lang w:val="sq-AL"/>
        </w:rPr>
        <w:t>NJ</w:t>
      </w:r>
      <w:r w:rsidRPr="00DE5F6E">
        <w:rPr>
          <w:rFonts w:ascii="Times New Roman" w:hAnsi="Times New Roman"/>
          <w:iCs/>
          <w:sz w:val="24"/>
          <w:szCs w:val="24"/>
          <w:lang w:val="sq-AL"/>
        </w:rPr>
        <w:t>K</w:t>
      </w:r>
      <w:r w:rsidR="00875898">
        <w:rPr>
          <w:rFonts w:ascii="Times New Roman" w:hAnsi="Times New Roman"/>
          <w:iCs/>
          <w:color w:val="000000" w:themeColor="text1"/>
          <w:sz w:val="24"/>
          <w:szCs w:val="24"/>
          <w:lang w:val="sq-AL"/>
        </w:rPr>
        <w:t xml:space="preserve"> në datat 17 nentor-16 dhjetor 2021.</w:t>
      </w:r>
    </w:p>
    <w:p w14:paraId="4B157482" w14:textId="2E398295" w:rsidR="00A91C67" w:rsidRPr="00DE5F6E" w:rsidRDefault="00731808" w:rsidP="00363B75">
      <w:pPr>
        <w:pStyle w:val="ListParagraph"/>
        <w:numPr>
          <w:ilvl w:val="0"/>
          <w:numId w:val="16"/>
        </w:numPr>
        <w:spacing w:line="276" w:lineRule="auto"/>
        <w:ind w:left="450" w:hanging="450"/>
        <w:jc w:val="both"/>
        <w:rPr>
          <w:rFonts w:ascii="Times New Roman" w:hAnsi="Times New Roman"/>
          <w:iCs/>
          <w:sz w:val="24"/>
          <w:szCs w:val="24"/>
          <w:lang w:val="sq-AL"/>
        </w:rPr>
      </w:pPr>
      <w:r w:rsidRPr="00DE5F6E">
        <w:rPr>
          <w:rFonts w:ascii="Times New Roman" w:hAnsi="Times New Roman"/>
          <w:iCs/>
          <w:sz w:val="24"/>
          <w:szCs w:val="24"/>
          <w:lang w:val="sq-AL"/>
        </w:rPr>
        <w:t xml:space="preserve">Takime </w:t>
      </w:r>
      <w:r w:rsidR="0081648D" w:rsidRPr="00DE5F6E">
        <w:rPr>
          <w:rFonts w:ascii="Times New Roman" w:hAnsi="Times New Roman"/>
          <w:iCs/>
          <w:sz w:val="24"/>
          <w:szCs w:val="24"/>
          <w:lang w:val="sq-AL"/>
        </w:rPr>
        <w:t xml:space="preserve">me </w:t>
      </w:r>
      <w:r w:rsidR="00A91C67" w:rsidRPr="00DE5F6E">
        <w:rPr>
          <w:rFonts w:ascii="Times New Roman" w:hAnsi="Times New Roman"/>
          <w:sz w:val="24"/>
          <w:szCs w:val="24"/>
          <w:lang w:val="sq-AL"/>
        </w:rPr>
        <w:t xml:space="preserve">grupin e punës </w:t>
      </w:r>
      <w:r w:rsidR="00377725" w:rsidRPr="00DE5F6E">
        <w:rPr>
          <w:rFonts w:ascii="Times New Roman" w:hAnsi="Times New Roman"/>
          <w:sz w:val="24"/>
          <w:szCs w:val="24"/>
          <w:lang w:val="sq-AL"/>
        </w:rPr>
        <w:t xml:space="preserve">fizikisht dhe </w:t>
      </w:r>
      <w:proofErr w:type="spellStart"/>
      <w:r w:rsidR="00377725" w:rsidRPr="00DE5F6E">
        <w:rPr>
          <w:rFonts w:ascii="Times New Roman" w:hAnsi="Times New Roman"/>
          <w:sz w:val="24"/>
          <w:szCs w:val="24"/>
          <w:lang w:val="sq-AL"/>
        </w:rPr>
        <w:t>online</w:t>
      </w:r>
      <w:proofErr w:type="spellEnd"/>
      <w:r w:rsidR="00377725" w:rsidRPr="00DE5F6E">
        <w:rPr>
          <w:rFonts w:ascii="Times New Roman" w:hAnsi="Times New Roman"/>
          <w:sz w:val="24"/>
          <w:szCs w:val="24"/>
          <w:lang w:val="sq-AL"/>
        </w:rPr>
        <w:t>.</w:t>
      </w:r>
    </w:p>
    <w:p w14:paraId="25C2AB68" w14:textId="2756F79B" w:rsidR="00363B75" w:rsidRPr="00363B75" w:rsidRDefault="00363B75" w:rsidP="00363B75">
      <w:pPr>
        <w:pStyle w:val="ListParagraph"/>
        <w:numPr>
          <w:ilvl w:val="0"/>
          <w:numId w:val="16"/>
        </w:numPr>
        <w:spacing w:line="276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8532B">
        <w:rPr>
          <w:rFonts w:ascii="Times New Roman" w:hAnsi="Times New Roman"/>
          <w:sz w:val="24"/>
          <w:szCs w:val="24"/>
        </w:rPr>
        <w:lastRenderedPageBreak/>
        <w:t>Takime</w:t>
      </w:r>
      <w:proofErr w:type="spellEnd"/>
      <w:r w:rsidRPr="0098532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8532B">
        <w:rPr>
          <w:rFonts w:ascii="Times New Roman" w:hAnsi="Times New Roman"/>
          <w:sz w:val="24"/>
          <w:szCs w:val="24"/>
        </w:rPr>
        <w:t>konsultativ</w:t>
      </w:r>
      <w:r>
        <w:rPr>
          <w:rFonts w:ascii="Times New Roman" w:hAnsi="Times New Roman"/>
          <w:sz w:val="24"/>
          <w:szCs w:val="24"/>
        </w:rPr>
        <w:t>e</w:t>
      </w:r>
      <w:proofErr w:type="spellEnd"/>
      <w:r>
        <w:rPr>
          <w:rFonts w:ascii="Times New Roman" w:hAnsi="Times New Roman"/>
          <w:sz w:val="24"/>
          <w:szCs w:val="24"/>
        </w:rPr>
        <w:t xml:space="preserve"> me </w:t>
      </w:r>
      <w:proofErr w:type="spellStart"/>
      <w:r>
        <w:rPr>
          <w:rFonts w:ascii="Times New Roman" w:hAnsi="Times New Roman"/>
          <w:sz w:val="24"/>
          <w:szCs w:val="24"/>
        </w:rPr>
        <w:t>përfaqësues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misioneve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asistojnë</w:t>
      </w:r>
      <w:proofErr w:type="spellEnd"/>
      <w:r>
        <w:rPr>
          <w:rFonts w:ascii="Times New Roman" w:hAnsi="Times New Roman"/>
          <w:sz w:val="24"/>
          <w:szCs w:val="24"/>
        </w:rPr>
        <w:t xml:space="preserve"> MB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fushën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kontrollit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armëve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vogla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lehta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municioneve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dhe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eksplozivëve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63B75">
        <w:rPr>
          <w:rFonts w:ascii="Times New Roman" w:hAnsi="Times New Roman"/>
          <w:sz w:val="24"/>
          <w:szCs w:val="24"/>
        </w:rPr>
        <w:t xml:space="preserve">me </w:t>
      </w:r>
      <w:proofErr w:type="spellStart"/>
      <w:r w:rsidRPr="00363B75">
        <w:rPr>
          <w:rFonts w:ascii="Times New Roman" w:hAnsi="Times New Roman"/>
          <w:sz w:val="24"/>
          <w:szCs w:val="24"/>
        </w:rPr>
        <w:t>ekspertë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teknik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Mund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përmendim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përfaqësues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ambasadës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Franceze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sz w:val="24"/>
          <w:szCs w:val="24"/>
        </w:rPr>
        <w:t>Gjermane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sz w:val="24"/>
          <w:szCs w:val="24"/>
        </w:rPr>
        <w:t>Suedeze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sz w:val="24"/>
          <w:szCs w:val="24"/>
        </w:rPr>
        <w:t>Norvegjeze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Delegacionit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Bashkimit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Evropian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përfaqësues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organizatave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ndërkombëtare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si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UNDP/SEESAC, OSCE, BAFA, INTERPOL, UNODC, PAMECA, IPA </w:t>
      </w:r>
      <w:proofErr w:type="spellStart"/>
      <w:r w:rsidRPr="00363B75">
        <w:rPr>
          <w:rFonts w:ascii="Times New Roman" w:hAnsi="Times New Roman"/>
          <w:sz w:val="24"/>
          <w:szCs w:val="24"/>
        </w:rPr>
        <w:t>etj</w:t>
      </w:r>
      <w:proofErr w:type="spellEnd"/>
      <w:r w:rsidRPr="00363B75">
        <w:rPr>
          <w:rFonts w:ascii="Times New Roman" w:hAnsi="Times New Roman"/>
          <w:sz w:val="24"/>
          <w:szCs w:val="24"/>
        </w:rPr>
        <w:t>.</w:t>
      </w:r>
    </w:p>
    <w:p w14:paraId="19479FA8" w14:textId="77777777" w:rsidR="00DE5F6E" w:rsidRPr="00DE5F6E" w:rsidRDefault="00DE5F6E" w:rsidP="00DE5F6E">
      <w:pPr>
        <w:pStyle w:val="ListParagraph"/>
        <w:spacing w:line="276" w:lineRule="auto"/>
        <w:ind w:left="720" w:firstLine="0"/>
        <w:jc w:val="both"/>
        <w:rPr>
          <w:rFonts w:ascii="Times New Roman" w:hAnsi="Times New Roman"/>
          <w:iCs/>
          <w:sz w:val="24"/>
          <w:szCs w:val="24"/>
          <w:lang w:val="sq-AL"/>
        </w:rPr>
      </w:pPr>
    </w:p>
    <w:p w14:paraId="478900F4" w14:textId="77777777" w:rsidR="005B6D2B" w:rsidRPr="00D74B7F" w:rsidRDefault="005B6D2B" w:rsidP="00DE5F6E">
      <w:pPr>
        <w:pStyle w:val="ListParagraph"/>
        <w:numPr>
          <w:ilvl w:val="0"/>
          <w:numId w:val="1"/>
        </w:numPr>
        <w:spacing w:line="276" w:lineRule="auto"/>
        <w:ind w:left="36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Palët e interesit të përfshira</w:t>
      </w:r>
    </w:p>
    <w:p w14:paraId="71F7A442" w14:textId="1A5DF27F" w:rsidR="00332DB4" w:rsidRPr="00D74B7F" w:rsidRDefault="00332DB4" w:rsidP="00626C90">
      <w:pPr>
        <w:spacing w:line="276" w:lineRule="auto"/>
        <w:jc w:val="both"/>
        <w:rPr>
          <w:rFonts w:ascii="Times New Roman" w:hAnsi="Times New Roman"/>
          <w:i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sz w:val="24"/>
          <w:szCs w:val="24"/>
          <w:lang w:val="sq-AL"/>
        </w:rPr>
        <w:t>Palët e interesuara të cilët kanë dhënë komente/kontribut në konsultimet publike gjatë procesit të hartimit, jan</w:t>
      </w:r>
      <w:r w:rsidR="005B1920" w:rsidRPr="00D74B7F">
        <w:rPr>
          <w:rFonts w:ascii="Times New Roman" w:hAnsi="Times New Roman"/>
          <w:i/>
          <w:sz w:val="24"/>
          <w:szCs w:val="24"/>
          <w:lang w:val="sq-AL"/>
        </w:rPr>
        <w:t>ë</w:t>
      </w:r>
      <w:r w:rsidRPr="00D74B7F">
        <w:rPr>
          <w:rFonts w:ascii="Times New Roman" w:hAnsi="Times New Roman"/>
          <w:i/>
          <w:sz w:val="24"/>
          <w:szCs w:val="24"/>
          <w:lang w:val="sq-AL"/>
        </w:rPr>
        <w:t>:</w:t>
      </w:r>
    </w:p>
    <w:p w14:paraId="758AC7D5" w14:textId="77777777" w:rsidR="00377725" w:rsidRDefault="00377725" w:rsidP="00377725">
      <w:pPr>
        <w:tabs>
          <w:tab w:val="left" w:pos="517"/>
        </w:tabs>
        <w:spacing w:after="120" w:line="276" w:lineRule="auto"/>
        <w:jc w:val="both"/>
        <w:rPr>
          <w:rFonts w:ascii="Times New Roman" w:eastAsia="MS Mincho" w:hAnsi="Times New Roman"/>
          <w:sz w:val="24"/>
          <w:szCs w:val="24"/>
          <w:lang w:val="sq-AL"/>
        </w:rPr>
      </w:pPr>
    </w:p>
    <w:p w14:paraId="68B9C78C" w14:textId="3A2932CE" w:rsidR="00363B75" w:rsidRPr="00363B75" w:rsidRDefault="00363B75" w:rsidP="00363B75">
      <w:pPr>
        <w:pStyle w:val="ListParagraph"/>
        <w:numPr>
          <w:ilvl w:val="0"/>
          <w:numId w:val="18"/>
        </w:numPr>
        <w:tabs>
          <w:tab w:val="left" w:pos="7552"/>
        </w:tabs>
        <w:spacing w:line="276" w:lineRule="auto"/>
        <w:ind w:left="450" w:hanging="45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3B75">
        <w:rPr>
          <w:rFonts w:ascii="Times New Roman" w:hAnsi="Times New Roman"/>
          <w:sz w:val="24"/>
          <w:szCs w:val="24"/>
        </w:rPr>
        <w:t>Strukturat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teknike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si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DPPSH, DPPPP, DPB </w:t>
      </w:r>
      <w:proofErr w:type="spellStart"/>
      <w:r w:rsidRPr="00363B75">
        <w:rPr>
          <w:rFonts w:ascii="Times New Roman" w:hAnsi="Times New Roman"/>
          <w:sz w:val="24"/>
          <w:szCs w:val="24"/>
        </w:rPr>
        <w:t>përfaqësues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nga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ministritë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363B75">
        <w:rPr>
          <w:rFonts w:ascii="Times New Roman" w:hAnsi="Times New Roman"/>
          <w:sz w:val="24"/>
          <w:szCs w:val="24"/>
        </w:rPr>
        <w:t>linjës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MD, MFE, MASR, MSHMS, MIE, MTM, MBZHR, MM, MEPJ, </w:t>
      </w:r>
      <w:proofErr w:type="spellStart"/>
      <w:r w:rsidRPr="00363B75">
        <w:rPr>
          <w:rFonts w:ascii="Times New Roman" w:hAnsi="Times New Roman"/>
          <w:sz w:val="24"/>
          <w:szCs w:val="24"/>
        </w:rPr>
        <w:t>organet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pavarura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PP, SPAK </w:t>
      </w:r>
      <w:proofErr w:type="spellStart"/>
      <w:r w:rsidRPr="00363B75">
        <w:rPr>
          <w:rFonts w:ascii="Times New Roman" w:hAnsi="Times New Roman"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SHISH</w:t>
      </w:r>
    </w:p>
    <w:p w14:paraId="0A9C3E92" w14:textId="11C7B31E" w:rsidR="00363B75" w:rsidRPr="00363B75" w:rsidRDefault="00363B75" w:rsidP="00363B75">
      <w:pPr>
        <w:pStyle w:val="ListParagraph"/>
        <w:numPr>
          <w:ilvl w:val="0"/>
          <w:numId w:val="18"/>
        </w:num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</w:rPr>
        <w:t>Ekspertë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fushës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363B75">
        <w:rPr>
          <w:rFonts w:ascii="Times New Roman" w:hAnsi="Times New Roman"/>
          <w:sz w:val="24"/>
          <w:szCs w:val="24"/>
        </w:rPr>
        <w:t>(</w:t>
      </w:r>
      <w:proofErr w:type="spellStart"/>
      <w:r w:rsidRPr="00363B75">
        <w:rPr>
          <w:rFonts w:ascii="Times New Roman" w:hAnsi="Times New Roman"/>
          <w:sz w:val="24"/>
          <w:szCs w:val="24"/>
        </w:rPr>
        <w:t>fizike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online) </w:t>
      </w:r>
      <w:proofErr w:type="spellStart"/>
      <w:r w:rsidRPr="00363B75">
        <w:rPr>
          <w:rFonts w:ascii="Times New Roman" w:hAnsi="Times New Roman"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363B75">
        <w:rPr>
          <w:rFonts w:ascii="Times New Roman" w:hAnsi="Times New Roman"/>
          <w:sz w:val="24"/>
          <w:szCs w:val="24"/>
        </w:rPr>
        <w:t>përfaqësues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koordinator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i </w:t>
      </w:r>
      <w:proofErr w:type="spellStart"/>
      <w:r w:rsidRPr="00363B75">
        <w:rPr>
          <w:rFonts w:ascii="Times New Roman" w:hAnsi="Times New Roman"/>
          <w:sz w:val="24"/>
          <w:szCs w:val="24"/>
        </w:rPr>
        <w:t>strategjisë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Drejtorisë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së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Politikave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Strategjive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Rendit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Sigurisë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Publike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në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bashkëpunim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me 1 jurist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Drejtorisë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Juridike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sz w:val="24"/>
          <w:szCs w:val="24"/>
        </w:rPr>
        <w:t xml:space="preserve"> MB.</w:t>
      </w:r>
    </w:p>
    <w:p w14:paraId="352F4883" w14:textId="2C999206" w:rsidR="00363B75" w:rsidRPr="00363B75" w:rsidRDefault="00363B75" w:rsidP="00363B75">
      <w:pPr>
        <w:pStyle w:val="ListParagraph"/>
        <w:numPr>
          <w:ilvl w:val="0"/>
          <w:numId w:val="18"/>
        </w:numPr>
        <w:tabs>
          <w:tab w:val="left" w:pos="7552"/>
        </w:tabs>
        <w:spacing w:line="276" w:lineRule="auto"/>
        <w:ind w:left="360"/>
        <w:jc w:val="both"/>
        <w:rPr>
          <w:rFonts w:ascii="Times New Roman" w:hAnsi="Times New Roman"/>
          <w:iCs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iCs/>
          <w:sz w:val="24"/>
          <w:szCs w:val="24"/>
        </w:rPr>
        <w:t>P</w:t>
      </w:r>
      <w:r w:rsidRPr="00363B75">
        <w:rPr>
          <w:rFonts w:ascii="Times New Roman" w:hAnsi="Times New Roman"/>
          <w:iCs/>
          <w:sz w:val="24"/>
          <w:szCs w:val="24"/>
        </w:rPr>
        <w:t>ërfaqësues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ambasadës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Franceze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Gjermane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Suedeze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Norvegjeze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dhe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Delegacionit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Bashkimit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Evropian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përfaqësues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të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organizatave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ndërkombëtare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si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 xml:space="preserve"> UNDP/SEESAC, OSCE, BAFA, INTERPOL, UNODC, PAMECA, IPA </w:t>
      </w:r>
      <w:proofErr w:type="spellStart"/>
      <w:r w:rsidRPr="00363B75">
        <w:rPr>
          <w:rFonts w:ascii="Times New Roman" w:hAnsi="Times New Roman"/>
          <w:iCs/>
          <w:sz w:val="24"/>
          <w:szCs w:val="24"/>
        </w:rPr>
        <w:t>etj</w:t>
      </w:r>
      <w:proofErr w:type="spellEnd"/>
      <w:r w:rsidRPr="00363B75">
        <w:rPr>
          <w:rFonts w:ascii="Times New Roman" w:hAnsi="Times New Roman"/>
          <w:iCs/>
          <w:sz w:val="24"/>
          <w:szCs w:val="24"/>
        </w:rPr>
        <w:t>.</w:t>
      </w:r>
      <w:bookmarkStart w:id="0" w:name="_GoBack"/>
      <w:bookmarkEnd w:id="0"/>
    </w:p>
    <w:p w14:paraId="72726042" w14:textId="3673DF3E" w:rsidR="00377725" w:rsidRPr="00D74B7F" w:rsidRDefault="00377725" w:rsidP="00377725">
      <w:pPr>
        <w:tabs>
          <w:tab w:val="left" w:pos="7552"/>
        </w:tabs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23B40C52" w14:textId="706CDE85" w:rsidR="005B6D2B" w:rsidRPr="00D74B7F" w:rsidRDefault="00D810D3" w:rsidP="00C756F0">
      <w:pPr>
        <w:spacing w:line="276" w:lineRule="auto"/>
        <w:ind w:left="720" w:hanging="720"/>
        <w:jc w:val="both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D74B7F">
        <w:rPr>
          <w:rFonts w:ascii="Times New Roman" w:hAnsi="Times New Roman"/>
          <w:b/>
          <w:bCs/>
          <w:sz w:val="24"/>
          <w:szCs w:val="24"/>
          <w:lang w:val="sq-AL"/>
        </w:rPr>
        <w:t>5</w:t>
      </w:r>
      <w:r w:rsidR="00AC35E9" w:rsidRPr="00D74B7F">
        <w:rPr>
          <w:rFonts w:ascii="Times New Roman" w:hAnsi="Times New Roman"/>
          <w:b/>
          <w:bCs/>
          <w:sz w:val="24"/>
          <w:szCs w:val="24"/>
          <w:lang w:val="sq-AL"/>
        </w:rPr>
        <w:t>.</w:t>
      </w:r>
      <w:r w:rsidR="005B6D2B" w:rsidRPr="00D74B7F">
        <w:rPr>
          <w:rFonts w:ascii="Times New Roman" w:hAnsi="Times New Roman"/>
          <w:b/>
          <w:bCs/>
          <w:sz w:val="24"/>
          <w:szCs w:val="24"/>
          <w:lang w:val="sq-AL"/>
        </w:rPr>
        <w:t xml:space="preserve"> Pasqyra e komenteve të pranuara me arsyetimin e komenteve të pranuara/ refuzuara</w:t>
      </w:r>
    </w:p>
    <w:p w14:paraId="6C0696DA" w14:textId="77777777" w:rsidR="00D810D3" w:rsidRPr="00D74B7F" w:rsidRDefault="00D810D3" w:rsidP="00060A77">
      <w:pPr>
        <w:spacing w:line="276" w:lineRule="auto"/>
        <w:ind w:left="72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</w:p>
    <w:p w14:paraId="4D496F85" w14:textId="1F637B1E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komentet/ propozim</w:t>
      </w:r>
      <w:r w:rsidR="00332DB4" w:rsidRPr="00D74B7F">
        <w:rPr>
          <w:rFonts w:ascii="Times New Roman" w:hAnsi="Times New Roman"/>
          <w:i/>
          <w:iCs/>
          <w:sz w:val="24"/>
          <w:szCs w:val="24"/>
          <w:lang w:val="sq-AL"/>
        </w:rPr>
        <w:t>e</w:t>
      </w: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t e pranuara sipas çështjes që ato ngritën;</w:t>
      </w:r>
    </w:p>
    <w:p w14:paraId="154810F8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Gruponi komente të ngjashme së bashku dhe renditni palët e interesuara që i ngritën ato;</w:t>
      </w:r>
    </w:p>
    <w:p w14:paraId="08BFB0CC" w14:textId="77777777" w:rsidR="005B6D2B" w:rsidRPr="00D74B7F" w:rsidRDefault="005B6D2B" w:rsidP="00060A77">
      <w:pPr>
        <w:spacing w:line="276" w:lineRule="auto"/>
        <w:ind w:left="360"/>
        <w:jc w:val="both"/>
        <w:rPr>
          <w:rFonts w:ascii="Times New Roman" w:hAnsi="Times New Roman"/>
          <w:i/>
          <w:iCs/>
          <w:sz w:val="24"/>
          <w:szCs w:val="24"/>
          <w:lang w:val="sq-AL"/>
        </w:rPr>
      </w:pPr>
      <w:r w:rsidRPr="00D74B7F">
        <w:rPr>
          <w:rFonts w:ascii="Times New Roman" w:hAnsi="Times New Roman"/>
          <w:i/>
          <w:iCs/>
          <w:sz w:val="24"/>
          <w:szCs w:val="24"/>
          <w:lang w:val="sq-AL"/>
        </w:rPr>
        <w:t>Shpjegoni cili ishte vendimi i marrë dhe sqaroni shkurtimisht arsyet për të.</w:t>
      </w:r>
    </w:p>
    <w:p w14:paraId="3CEE2627" w14:textId="77777777" w:rsidR="005B6D2B" w:rsidRPr="00D74B7F" w:rsidRDefault="005B6D2B" w:rsidP="00060A77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177"/>
        <w:gridCol w:w="1901"/>
        <w:gridCol w:w="1402"/>
        <w:gridCol w:w="1387"/>
      </w:tblGrid>
      <w:tr w:rsidR="007F0F0B" w:rsidRPr="00D74B7F" w14:paraId="6D78FD5A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A67CF" w14:textId="7DE23185" w:rsidR="005B6D2B" w:rsidRPr="00D74B7F" w:rsidRDefault="00C5584F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Çështja </w:t>
            </w:r>
            <w:r w:rsidR="00EA525D"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e </w:t>
            </w:r>
            <w:r w:rsidR="005B6D2B" w:rsidRPr="00D74B7F">
              <w:rPr>
                <w:rFonts w:ascii="Times New Roman" w:hAnsi="Times New Roman"/>
                <w:sz w:val="24"/>
                <w:szCs w:val="24"/>
                <w:lang w:val="sq-AL"/>
              </w:rPr>
              <w:t>adresuar</w:t>
            </w:r>
          </w:p>
          <w:p w14:paraId="36AD282C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(</w:t>
            </w:r>
            <w:r w:rsidRPr="00D74B7F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psh. përkufizimi i ri i…, kushtet për regjistrimin e…, rregullimi i…, etj.)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AEDC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Komenti</w:t>
            </w:r>
          </w:p>
          <w:p w14:paraId="6EB01A25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 xml:space="preserve">(grumbulloni dhe përmblidhni komente identike/të ngjashme nga palët e ndryshme të interesuara së bashku)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7E224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Palët e interesuara </w:t>
            </w:r>
            <w:r w:rsidRPr="00D74B7F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(renditni të gjithë ata që adresuan çështjen në mënyrë të ngjashme)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B8413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Vendimi (I pranuar/I pranuar pjesërisht/I refuzuar)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B6A0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74B7F">
              <w:rPr>
                <w:rFonts w:ascii="Times New Roman" w:hAnsi="Times New Roman"/>
                <w:sz w:val="24"/>
                <w:szCs w:val="24"/>
                <w:lang w:val="sq-AL"/>
              </w:rPr>
              <w:t>Justifikimi</w:t>
            </w:r>
          </w:p>
        </w:tc>
      </w:tr>
      <w:tr w:rsidR="007F0F0B" w:rsidRPr="00D74B7F" w14:paraId="4C24FF74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4EBE" w14:textId="38CDE007" w:rsidR="00332DB4" w:rsidRPr="00415CDB" w:rsidRDefault="00332DB4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C256" w14:textId="50D1CCE6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1A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E7D4BFC" w14:textId="4D18311A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9981" w14:textId="77777777" w:rsidR="00415CDB" w:rsidRDefault="00415CD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D8EE38" w14:textId="34209401" w:rsidR="005B6D2B" w:rsidRPr="00415CDB" w:rsidRDefault="005B6D2B" w:rsidP="00415CD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B4EF" w14:textId="77777777" w:rsidR="005B6D2B" w:rsidRPr="00D74B7F" w:rsidRDefault="005B6D2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3BE1132F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73A" w14:textId="40C031EE" w:rsidR="00415CDB" w:rsidRPr="00D74B7F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D801" w14:textId="2CCE71DE" w:rsidR="00415CDB" w:rsidRPr="00D74B7F" w:rsidRDefault="00415CDB" w:rsidP="00027E42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771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7035FD8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47A099B2" w14:textId="284845EA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41C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FDC29E9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C40C223" w14:textId="77777777" w:rsidR="00415CDB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7351AE7" w14:textId="77AEDC4D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692" w14:textId="77777777" w:rsidR="00415CDB" w:rsidRPr="00D74B7F" w:rsidRDefault="00415CDB" w:rsidP="00060A77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1237AC83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0E5" w14:textId="0A465BF4" w:rsidR="00415CDB" w:rsidRPr="00D74B7F" w:rsidRDefault="00415CDB" w:rsidP="00415C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4405" w14:textId="15D40491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C5F2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66A5A89B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3F4640F" w14:textId="48425B5C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7108" w14:textId="64ECC17D" w:rsidR="00415CDB" w:rsidRPr="00D74B7F" w:rsidRDefault="00415CDB" w:rsidP="00E34528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03B17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7972FA08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7234" w14:textId="3021AF7D" w:rsidR="00415CDB" w:rsidRPr="00415CDB" w:rsidRDefault="00415CDB" w:rsidP="00415CDB">
            <w:pPr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E43E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BAC3" w14:textId="77777777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4F016F0" w14:textId="1756172B" w:rsidR="00415CDB" w:rsidRDefault="00415CD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A4C4" w14:textId="5CC38E68" w:rsidR="00415CDB" w:rsidRDefault="00415CD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DA27" w14:textId="77777777" w:rsidR="00415CDB" w:rsidRPr="00D74B7F" w:rsidRDefault="00415CD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7F0F0B" w:rsidRPr="00D74B7F" w14:paraId="2D4B9D36" w14:textId="77777777" w:rsidTr="00EE4CD5"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FCDA" w14:textId="77777777" w:rsidR="007F0F0B" w:rsidRPr="00415CDB" w:rsidRDefault="007F0F0B" w:rsidP="00465158">
            <w:pPr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1215" w14:textId="77777777" w:rsidR="007F0F0B" w:rsidRPr="00D74B7F" w:rsidRDefault="007F0F0B" w:rsidP="00EE4CD5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475E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B499621" w14:textId="553B180D" w:rsidR="007F0F0B" w:rsidRDefault="007F0F0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C27F" w14:textId="77777777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115C69" w14:textId="5716969E" w:rsidR="007F0F0B" w:rsidRDefault="007F0F0B" w:rsidP="00294041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FB9E" w14:textId="189D1AD2" w:rsidR="007F0F0B" w:rsidRPr="00D74B7F" w:rsidRDefault="007F0F0B" w:rsidP="007F0F0B">
            <w:pPr>
              <w:pStyle w:val="BodyText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EB3D291" w14:textId="77777777" w:rsidR="005B6D2B" w:rsidRPr="00D74B7F" w:rsidRDefault="005B6D2B" w:rsidP="00060A77">
      <w:pPr>
        <w:spacing w:line="276" w:lineRule="auto"/>
        <w:rPr>
          <w:rFonts w:ascii="Times New Roman" w:hAnsi="Times New Roman"/>
          <w:sz w:val="24"/>
          <w:szCs w:val="24"/>
          <w:lang w:val="sq-AL"/>
        </w:rPr>
      </w:pPr>
    </w:p>
    <w:sectPr w:rsidR="005B6D2B" w:rsidRPr="00D74B7F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502"/>
    <w:multiLevelType w:val="hybridMultilevel"/>
    <w:tmpl w:val="A20C5866"/>
    <w:lvl w:ilvl="0" w:tplc="C0D2E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62A"/>
    <w:multiLevelType w:val="hybridMultilevel"/>
    <w:tmpl w:val="63A42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648E"/>
    <w:multiLevelType w:val="hybridMultilevel"/>
    <w:tmpl w:val="7FC2AC28"/>
    <w:lvl w:ilvl="0" w:tplc="2466BD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F689E"/>
    <w:multiLevelType w:val="hybridMultilevel"/>
    <w:tmpl w:val="7A524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04730"/>
    <w:multiLevelType w:val="hybridMultilevel"/>
    <w:tmpl w:val="62920F3A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B7120"/>
    <w:multiLevelType w:val="hybridMultilevel"/>
    <w:tmpl w:val="732E2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3519D"/>
    <w:multiLevelType w:val="hybridMultilevel"/>
    <w:tmpl w:val="7682E37A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896"/>
    <w:multiLevelType w:val="hybridMultilevel"/>
    <w:tmpl w:val="1900694C"/>
    <w:lvl w:ilvl="0" w:tplc="7E8895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451CE0"/>
    <w:multiLevelType w:val="hybridMultilevel"/>
    <w:tmpl w:val="49D03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25073C"/>
    <w:multiLevelType w:val="hybridMultilevel"/>
    <w:tmpl w:val="68BC792C"/>
    <w:lvl w:ilvl="0" w:tplc="F754033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E5A35"/>
    <w:multiLevelType w:val="hybridMultilevel"/>
    <w:tmpl w:val="0A78F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803EA1"/>
    <w:multiLevelType w:val="hybridMultilevel"/>
    <w:tmpl w:val="96A24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33CC4"/>
    <w:multiLevelType w:val="hybridMultilevel"/>
    <w:tmpl w:val="22489BDA"/>
    <w:lvl w:ilvl="0" w:tplc="210040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D43A24"/>
    <w:multiLevelType w:val="hybridMultilevel"/>
    <w:tmpl w:val="8FE4A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8"/>
  </w:num>
  <w:num w:numId="5">
    <w:abstractNumId w:val="14"/>
  </w:num>
  <w:num w:numId="6">
    <w:abstractNumId w:val="1"/>
  </w:num>
  <w:num w:numId="7">
    <w:abstractNumId w:val="17"/>
  </w:num>
  <w:num w:numId="8">
    <w:abstractNumId w:val="2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  <w:num w:numId="13">
    <w:abstractNumId w:val="9"/>
  </w:num>
  <w:num w:numId="14">
    <w:abstractNumId w:val="16"/>
  </w:num>
  <w:num w:numId="15">
    <w:abstractNumId w:val="4"/>
  </w:num>
  <w:num w:numId="16">
    <w:abstractNumId w:val="3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D2B"/>
    <w:rsid w:val="00027E42"/>
    <w:rsid w:val="00060A77"/>
    <w:rsid w:val="00070EA8"/>
    <w:rsid w:val="00075B1A"/>
    <w:rsid w:val="00094BD5"/>
    <w:rsid w:val="001034F2"/>
    <w:rsid w:val="0015318E"/>
    <w:rsid w:val="001638C2"/>
    <w:rsid w:val="00175225"/>
    <w:rsid w:val="0018175B"/>
    <w:rsid w:val="00181C26"/>
    <w:rsid w:val="001C7127"/>
    <w:rsid w:val="001D5F4F"/>
    <w:rsid w:val="0022799B"/>
    <w:rsid w:val="002353AA"/>
    <w:rsid w:val="002559CA"/>
    <w:rsid w:val="00260E60"/>
    <w:rsid w:val="00290B79"/>
    <w:rsid w:val="00332DB4"/>
    <w:rsid w:val="00333352"/>
    <w:rsid w:val="00363B75"/>
    <w:rsid w:val="00377725"/>
    <w:rsid w:val="003B4B2D"/>
    <w:rsid w:val="003D2F45"/>
    <w:rsid w:val="00415CDB"/>
    <w:rsid w:val="00435429"/>
    <w:rsid w:val="00465158"/>
    <w:rsid w:val="004B15F7"/>
    <w:rsid w:val="00557D02"/>
    <w:rsid w:val="005B1920"/>
    <w:rsid w:val="005B6D2B"/>
    <w:rsid w:val="005D1F7E"/>
    <w:rsid w:val="00610FA5"/>
    <w:rsid w:val="00615CA4"/>
    <w:rsid w:val="00626C90"/>
    <w:rsid w:val="00650710"/>
    <w:rsid w:val="00671695"/>
    <w:rsid w:val="006A56F9"/>
    <w:rsid w:val="00717403"/>
    <w:rsid w:val="00731808"/>
    <w:rsid w:val="00741C60"/>
    <w:rsid w:val="00793F6D"/>
    <w:rsid w:val="007971C6"/>
    <w:rsid w:val="007F0F0B"/>
    <w:rsid w:val="007F1FAD"/>
    <w:rsid w:val="0081648D"/>
    <w:rsid w:val="0083798F"/>
    <w:rsid w:val="00860F29"/>
    <w:rsid w:val="00875898"/>
    <w:rsid w:val="0087667F"/>
    <w:rsid w:val="0096080C"/>
    <w:rsid w:val="00963283"/>
    <w:rsid w:val="00965584"/>
    <w:rsid w:val="00985F41"/>
    <w:rsid w:val="009A503B"/>
    <w:rsid w:val="00A121AB"/>
    <w:rsid w:val="00A13CC8"/>
    <w:rsid w:val="00A3438A"/>
    <w:rsid w:val="00A91C67"/>
    <w:rsid w:val="00AC2346"/>
    <w:rsid w:val="00AC35E9"/>
    <w:rsid w:val="00B01966"/>
    <w:rsid w:val="00B4707C"/>
    <w:rsid w:val="00B53912"/>
    <w:rsid w:val="00BC3C25"/>
    <w:rsid w:val="00BD60EB"/>
    <w:rsid w:val="00C35933"/>
    <w:rsid w:val="00C40612"/>
    <w:rsid w:val="00C40B4D"/>
    <w:rsid w:val="00C5584F"/>
    <w:rsid w:val="00C756F0"/>
    <w:rsid w:val="00D74B7F"/>
    <w:rsid w:val="00D810D3"/>
    <w:rsid w:val="00D91D61"/>
    <w:rsid w:val="00DC4086"/>
    <w:rsid w:val="00DD5D4E"/>
    <w:rsid w:val="00DE5C0D"/>
    <w:rsid w:val="00DE5F6E"/>
    <w:rsid w:val="00DE7FC5"/>
    <w:rsid w:val="00E34528"/>
    <w:rsid w:val="00E7135F"/>
    <w:rsid w:val="00EA525D"/>
    <w:rsid w:val="00EE3C6B"/>
    <w:rsid w:val="00EE4CD5"/>
    <w:rsid w:val="00EE64C8"/>
    <w:rsid w:val="00F0455A"/>
    <w:rsid w:val="00F2137A"/>
    <w:rsid w:val="00F5408A"/>
    <w:rsid w:val="00F56C32"/>
    <w:rsid w:val="00FA709B"/>
    <w:rsid w:val="00FD349B"/>
    <w:rsid w:val="00FE0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42096"/>
  <w15:docId w15:val="{BBB63C82-4A67-46C8-AC83-437E8130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B7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363B75"/>
    <w:rPr>
      <w:rFonts w:ascii="Calibri" w:eastAsia="Times New Roman" w:hAnsi="Calibri" w:cs="Times New Roman"/>
      <w:b/>
      <w:bCs/>
      <w:i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A7446-58AC-482A-8E42-61E2CE7E0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Keti Suli</cp:lastModifiedBy>
  <cp:revision>17</cp:revision>
  <dcterms:created xsi:type="dcterms:W3CDTF">2021-06-07T07:03:00Z</dcterms:created>
  <dcterms:modified xsi:type="dcterms:W3CDTF">2021-11-17T08:45:00Z</dcterms:modified>
</cp:coreProperties>
</file>